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ind w:left="-850" w:leftChars="-405"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南京艺术学院公务（国际）接待审批单</w:t>
      </w:r>
    </w:p>
    <w:tbl>
      <w:tblPr>
        <w:tblStyle w:val="3"/>
        <w:tblW w:w="10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67"/>
        <w:gridCol w:w="1551"/>
        <w:gridCol w:w="993"/>
        <w:gridCol w:w="1842"/>
        <w:gridCol w:w="2419"/>
      </w:tblGrid>
      <w:tr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接待时间</w:t>
            </w:r>
          </w:p>
        </w:tc>
        <w:tc>
          <w:tcPr>
            <w:tcW w:w="8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接待事由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接待地点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接待规格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列支项目号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rPr>
          <w:trHeight w:val="628" w:hRule="atLeast"/>
          <w:jc w:val="center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接待对象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（共  人）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人员姓名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职务/职称</w:t>
            </w:r>
          </w:p>
        </w:tc>
      </w:tr>
      <w:tr>
        <w:trPr>
          <w:trHeight w:val="1214" w:hRule="atLeast"/>
          <w:jc w:val="center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rPr>
          <w:trHeight w:val="84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陪同人员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（共  人）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rPr>
          <w:trHeight w:val="628" w:hRule="atLeast"/>
          <w:jc w:val="center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接待情况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餐费（元）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4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人均餐费：     元/人</w:t>
            </w:r>
          </w:p>
        </w:tc>
      </w:tr>
      <w:tr>
        <w:trPr>
          <w:trHeight w:val="628" w:hRule="atLeast"/>
          <w:jc w:val="center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是否符合用餐标准 是□ </w:t>
            </w:r>
            <w:r>
              <w:rPr>
                <w:rFonts w:hint="eastAsia" w:ascii="Arial" w:hAnsi="Arial" w:eastAsia="仿宋_GB2312" w:cs="Arial"/>
                <w:sz w:val="30"/>
                <w:szCs w:val="30"/>
              </w:rPr>
              <w:t>否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合计超标金额：        元</w:t>
            </w:r>
          </w:p>
        </w:tc>
      </w:tr>
      <w:tr>
        <w:trPr>
          <w:trHeight w:val="628" w:hRule="atLeast"/>
          <w:jc w:val="center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实际报销总金额（大写）</w:t>
            </w:r>
          </w:p>
        </w:tc>
        <w:tc>
          <w:tcPr>
            <w:tcW w:w="5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rPr>
          <w:trHeight w:val="86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特殊事项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情况说明</w:t>
            </w:r>
          </w:p>
        </w:tc>
        <w:tc>
          <w:tcPr>
            <w:tcW w:w="8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rPr>
          <w:trHeight w:val="101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审批意见</w:t>
            </w:r>
          </w:p>
        </w:tc>
        <w:tc>
          <w:tcPr>
            <w:tcW w:w="8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单位公章：          经办人：         审批人：      </w:t>
            </w:r>
          </w:p>
          <w:p>
            <w:pPr>
              <w:ind w:firstLine="3150" w:firstLineChars="1050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日期：           日期：</w:t>
            </w:r>
          </w:p>
        </w:tc>
      </w:tr>
    </w:tbl>
    <w:p>
      <w:pPr>
        <w:spacing w:line="360" w:lineRule="exact"/>
        <w:ind w:left="-567" w:leftChars="-270" w:right="-764" w:rightChars="-364" w:firstLine="56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>
      <w:pPr>
        <w:spacing w:line="360" w:lineRule="exact"/>
        <w:ind w:left="-567" w:leftChars="-270" w:right="-764" w:rightChars="-364" w:firstLine="480" w:firstLineChars="200"/>
        <w:jc w:val="left"/>
        <w:rPr>
          <w:rFonts w:ascii="仿宋_GB2312" w:hAnsi="宋体" w:eastAsia="仿宋_GB2312"/>
          <w:spacing w:val="-4"/>
          <w:sz w:val="24"/>
        </w:rPr>
      </w:pPr>
      <w:r>
        <w:rPr>
          <w:rFonts w:hint="eastAsia" w:ascii="仿宋_GB2312" w:hAnsi="宋体" w:eastAsia="仿宋_GB2312"/>
          <w:sz w:val="24"/>
        </w:rPr>
        <w:t>1.</w:t>
      </w:r>
      <w:r>
        <w:rPr>
          <w:rFonts w:hint="eastAsia" w:ascii="仿宋_GB2312" w:hAnsi="宋体" w:eastAsia="仿宋_GB2312"/>
          <w:spacing w:val="-4"/>
          <w:sz w:val="24"/>
        </w:rPr>
        <w:t>接待费用报销按照《</w:t>
      </w:r>
      <w:r>
        <w:rPr>
          <w:rFonts w:hint="eastAsia" w:ascii="仿宋_GB2312" w:eastAsia="仿宋_GB2312"/>
          <w:spacing w:val="-4"/>
          <w:sz w:val="24"/>
        </w:rPr>
        <w:t>南京艺术学院外事接待工作管理办法</w:t>
      </w:r>
      <w:r>
        <w:rPr>
          <w:rFonts w:hint="eastAsia" w:ascii="仿宋_GB2312" w:hAnsi="宋体" w:eastAsia="仿宋_GB2312"/>
          <w:spacing w:val="-4"/>
          <w:sz w:val="24"/>
        </w:rPr>
        <w:t>》执行。</w:t>
      </w:r>
    </w:p>
    <w:p>
      <w:pPr>
        <w:spacing w:line="360" w:lineRule="exact"/>
        <w:ind w:left="-567" w:leftChars="-270" w:right="-764" w:rightChars="-364" w:firstLine="480" w:firstLineChars="200"/>
        <w:jc w:val="left"/>
        <w:rPr>
          <w:rFonts w:ascii="仿宋_GB2312" w:hAnsi="宋体" w:eastAsia="仿宋_GB2312"/>
          <w:spacing w:val="-4"/>
          <w:sz w:val="24"/>
        </w:rPr>
      </w:pPr>
      <w:r>
        <w:rPr>
          <w:rFonts w:hint="eastAsia" w:ascii="仿宋_GB2312" w:hAnsi="宋体" w:eastAsia="仿宋_GB2312"/>
          <w:sz w:val="24"/>
        </w:rPr>
        <w:t>2.公务接待费用凭邀请函、接待通知单及财务票据报销。</w:t>
      </w:r>
    </w:p>
    <w:p>
      <w:pPr>
        <w:spacing w:line="360" w:lineRule="exact"/>
        <w:ind w:left="-357" w:leftChars="-170" w:right="-764" w:rightChars="-364" w:firstLine="240" w:firstLineChars="100"/>
        <w:jc w:val="left"/>
        <w:rPr>
          <w:rFonts w:ascii="仿宋_GB2312" w:hAnsi="宋体" w:eastAsia="仿宋_GB2312"/>
          <w:spacing w:val="-4"/>
          <w:sz w:val="24"/>
        </w:rPr>
      </w:pPr>
      <w:r>
        <w:rPr>
          <w:rFonts w:hint="eastAsia" w:ascii="仿宋_GB2312" w:hAnsi="宋体" w:eastAsia="仿宋_GB2312"/>
          <w:sz w:val="24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sz w:val="24"/>
        </w:rPr>
        <w:t>外宾宴请费（含酒水、饮料）标准：厅局级及以下人员出面举办的宴请每人每次300元；外宾5人（含5人）以内的，中外人数原则上在1:1以内安排； 外宾超过5人的，超过部分中外人数原则上在 1:2 以内安排。</w:t>
      </w:r>
    </w:p>
    <w:p>
      <w:pPr>
        <w:spacing w:line="360" w:lineRule="exact"/>
        <w:ind w:left="-357" w:leftChars="-170" w:right="-764" w:rightChars="-364" w:firstLine="240" w:firstLineChars="100"/>
        <w:jc w:val="left"/>
      </w:pPr>
      <w:r>
        <w:rPr>
          <w:rFonts w:hint="eastAsia" w:ascii="仿宋_GB2312" w:hAnsi="宋体" w:eastAsia="仿宋_GB2312"/>
          <w:sz w:val="24"/>
        </w:rPr>
        <w:t>4.接待费报销遵循“一事一结”原则，费用支出应采用银行转账或者公务卡方式结算，不得以现金方式支付，本审批单作为财务报销凭证。</w:t>
      </w:r>
    </w:p>
    <w:p>
      <w:r>
        <w:rPr>
          <w:rFonts w:ascii="仿宋" w:hAnsi="仿宋" w:eastAsia="仿宋"/>
          <w:sz w:val="24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FFCD5"/>
    <w:rsid w:val="0EDFF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2021-12-17T08:49:00Z</dcterms:created>
  <dc:creator>xiongan</dc:creator>
  <cp:lastModifiedBy>xiongan</cp:lastModifiedBy>
  <dcterms:modified xsi:type="dcterms:W3CDTF">2021-12-17T08:58:54Z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